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6B60" w:rsidRDefault="00B96BDB" w:rsidP="00B96BDB">
      <w:pPr>
        <w:bidi/>
        <w:rPr>
          <w:rtl/>
          <w:lang w:bidi="prs-AF"/>
        </w:rPr>
      </w:pPr>
      <w:r>
        <w:rPr>
          <w:rFonts w:hint="cs"/>
          <w:rtl/>
          <w:lang w:bidi="prs-AF"/>
        </w:rPr>
        <w:t>نام و نام خانوادگی: علی اصغر آزما</w:t>
      </w:r>
    </w:p>
    <w:p w:rsidR="00B96BDB" w:rsidRDefault="00B96BDB" w:rsidP="00B96BDB">
      <w:pPr>
        <w:bidi/>
        <w:rPr>
          <w:rtl/>
          <w:lang w:bidi="prs-AF"/>
        </w:rPr>
      </w:pPr>
      <w:r>
        <w:rPr>
          <w:rFonts w:hint="cs"/>
          <w:rtl/>
          <w:lang w:bidi="prs-AF"/>
        </w:rPr>
        <w:t>نام و نام خانوادگی (</w:t>
      </w:r>
      <w:r>
        <w:rPr>
          <w:lang w:bidi="fa-IR"/>
        </w:rPr>
        <w:t>English</w:t>
      </w:r>
      <w:r>
        <w:rPr>
          <w:rFonts w:hint="cs"/>
          <w:rtl/>
          <w:lang w:bidi="prs-AF"/>
        </w:rPr>
        <w:t xml:space="preserve">): </w:t>
      </w:r>
      <w:proofErr w:type="spellStart"/>
      <w:r>
        <w:rPr>
          <w:lang w:bidi="fa-IR"/>
        </w:rPr>
        <w:t>Azma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Aliasghar</w:t>
      </w:r>
      <w:proofErr w:type="spellEnd"/>
    </w:p>
    <w:p w:rsidR="00B96BDB" w:rsidRDefault="00B96BDB" w:rsidP="00B96BDB">
      <w:pPr>
        <w:bidi/>
        <w:rPr>
          <w:rFonts w:hint="cs"/>
          <w:rtl/>
          <w:lang w:bidi="fa-IR"/>
        </w:rPr>
      </w:pPr>
      <w:r>
        <w:rPr>
          <w:rFonts w:hint="cs"/>
          <w:rtl/>
          <w:lang w:bidi="prs-AF"/>
        </w:rPr>
        <w:t xml:space="preserve">رشته تخصصی: مهندسی عمران- </w:t>
      </w:r>
      <w:r w:rsidR="00831B28">
        <w:rPr>
          <w:rFonts w:hint="cs"/>
          <w:rtl/>
          <w:lang w:bidi="prs-AF"/>
        </w:rPr>
        <w:t>هیدرولیک</w:t>
      </w:r>
    </w:p>
    <w:p w:rsidR="00B96BDB" w:rsidRDefault="00B96BDB" w:rsidP="00B96BDB">
      <w:pPr>
        <w:bidi/>
        <w:rPr>
          <w:lang w:bidi="prs-AF"/>
        </w:rPr>
      </w:pPr>
      <w:r>
        <w:rPr>
          <w:rFonts w:hint="cs"/>
          <w:rtl/>
          <w:lang w:bidi="prs-AF"/>
        </w:rPr>
        <w:t>رشته تخصصی (</w:t>
      </w:r>
      <w:r>
        <w:rPr>
          <w:lang w:bidi="fa-IR"/>
        </w:rPr>
        <w:t>English</w:t>
      </w:r>
      <w:r>
        <w:rPr>
          <w:rFonts w:hint="cs"/>
          <w:rtl/>
          <w:lang w:bidi="prs-AF"/>
        </w:rPr>
        <w:t xml:space="preserve">): </w:t>
      </w:r>
      <w:r>
        <w:rPr>
          <w:lang w:bidi="fa-IR"/>
        </w:rPr>
        <w:t xml:space="preserve">Civil Engineering- </w:t>
      </w:r>
      <w:r w:rsidR="00831B28">
        <w:rPr>
          <w:lang w:bidi="fa-IR"/>
        </w:rPr>
        <w:t>Hydraulic Engineering</w:t>
      </w:r>
    </w:p>
    <w:p w:rsidR="00B96BDB" w:rsidRDefault="00B96BDB" w:rsidP="00B96BDB">
      <w:pPr>
        <w:bidi/>
        <w:rPr>
          <w:lang w:bidi="prs-AF"/>
        </w:rPr>
      </w:pPr>
      <w:r>
        <w:rPr>
          <w:lang w:bidi="fa-IR"/>
        </w:rPr>
        <w:t>H-index</w:t>
      </w:r>
      <w:r>
        <w:rPr>
          <w:rFonts w:hint="cs"/>
          <w:rtl/>
          <w:lang w:bidi="prs-AF"/>
        </w:rPr>
        <w:t xml:space="preserve">: </w:t>
      </w:r>
      <w:r w:rsidR="00831B28">
        <w:rPr>
          <w:lang w:bidi="fa-IR"/>
        </w:rPr>
        <w:t>7</w:t>
      </w:r>
    </w:p>
    <w:p w:rsidR="00B96BDB" w:rsidRDefault="00B96BDB" w:rsidP="00B96BDB">
      <w:pPr>
        <w:bidi/>
        <w:rPr>
          <w:rStyle w:val="Hyperlink"/>
          <w:color w:val="000000" w:themeColor="text1"/>
          <w:rtl/>
          <w:lang w:bidi="prs-AF"/>
        </w:rPr>
      </w:pPr>
      <w:r>
        <w:rPr>
          <w:rFonts w:hint="cs"/>
          <w:rtl/>
          <w:lang w:bidi="prs-AF"/>
        </w:rPr>
        <w:t>شناسه پژوهشگر: (</w:t>
      </w:r>
      <w:r>
        <w:rPr>
          <w:lang w:bidi="fa-IR"/>
        </w:rPr>
        <w:t>ORCID</w:t>
      </w:r>
      <w:r>
        <w:rPr>
          <w:rFonts w:hint="cs"/>
          <w:rtl/>
          <w:lang w:bidi="prs-AF"/>
        </w:rPr>
        <w:t xml:space="preserve">): </w:t>
      </w:r>
      <w:r w:rsidRPr="00B96BDB">
        <w:rPr>
          <w:rStyle w:val="Hyperlink"/>
          <w:color w:val="000000" w:themeColor="text1"/>
        </w:rPr>
        <w:t>0000-0001-6565-6578</w:t>
      </w:r>
    </w:p>
    <w:p w:rsidR="00831B28" w:rsidRDefault="00CA62A8" w:rsidP="00CA62A8">
      <w:pPr>
        <w:bidi/>
        <w:rPr>
          <w:rStyle w:val="Hyperlink"/>
          <w:color w:val="000000" w:themeColor="text1"/>
          <w:u w:val="none"/>
          <w:rtl/>
          <w:lang w:bidi="prs-AF"/>
        </w:rPr>
      </w:pPr>
      <w:r>
        <w:rPr>
          <w:rStyle w:val="Hyperlink"/>
          <w:rFonts w:hint="cs"/>
          <w:color w:val="000000" w:themeColor="text1"/>
          <w:u w:val="none"/>
          <w:rtl/>
          <w:lang w:bidi="prs-AF"/>
        </w:rPr>
        <w:t>سمت/سازمان (وابستگی سازمانی):</w:t>
      </w:r>
    </w:p>
    <w:p w:rsidR="00CA62A8" w:rsidRDefault="00CA62A8" w:rsidP="00831B28">
      <w:pPr>
        <w:bidi/>
        <w:rPr>
          <w:rStyle w:val="Hyperlink"/>
          <w:color w:val="000000" w:themeColor="text1"/>
          <w:u w:val="none"/>
          <w:rtl/>
          <w:lang w:bidi="prs-AF"/>
        </w:rPr>
      </w:pPr>
      <w:r>
        <w:rPr>
          <w:rStyle w:val="Hyperlink"/>
          <w:rFonts w:hint="cs"/>
          <w:color w:val="000000" w:themeColor="text1"/>
          <w:u w:val="none"/>
          <w:rtl/>
          <w:lang w:bidi="prs-AF"/>
        </w:rPr>
        <w:t xml:space="preserve"> </w:t>
      </w:r>
      <w:r w:rsidR="00831B28">
        <w:rPr>
          <w:rStyle w:val="Hyperlink"/>
          <w:rFonts w:hint="cs"/>
          <w:color w:val="000000" w:themeColor="text1"/>
          <w:u w:val="none"/>
          <w:rtl/>
          <w:lang w:bidi="fa-IR"/>
        </w:rPr>
        <w:t>دانشیار</w:t>
      </w:r>
      <w:r>
        <w:rPr>
          <w:rStyle w:val="Hyperlink"/>
          <w:rFonts w:hint="cs"/>
          <w:color w:val="000000" w:themeColor="text1"/>
          <w:u w:val="none"/>
          <w:rtl/>
          <w:lang w:bidi="prs-AF"/>
        </w:rPr>
        <w:t xml:space="preserve"> - گروه مهندسی هیدرولیک </w:t>
      </w:r>
      <w:r>
        <w:rPr>
          <w:rStyle w:val="Hyperlink"/>
          <w:color w:val="000000" w:themeColor="text1"/>
          <w:u w:val="none"/>
          <w:rtl/>
          <w:lang w:bidi="prs-AF"/>
        </w:rPr>
        <w:t>–</w:t>
      </w:r>
      <w:r>
        <w:rPr>
          <w:rStyle w:val="Hyperlink"/>
          <w:rFonts w:hint="cs"/>
          <w:color w:val="000000" w:themeColor="text1"/>
          <w:u w:val="none"/>
          <w:rtl/>
          <w:lang w:bidi="prs-AF"/>
        </w:rPr>
        <w:t xml:space="preserve"> دانشکده مهندسی عمران </w:t>
      </w:r>
      <w:r>
        <w:rPr>
          <w:rStyle w:val="Hyperlink"/>
          <w:color w:val="000000" w:themeColor="text1"/>
          <w:u w:val="none"/>
          <w:rtl/>
          <w:lang w:bidi="prs-AF"/>
        </w:rPr>
        <w:t>–</w:t>
      </w:r>
      <w:r>
        <w:rPr>
          <w:rStyle w:val="Hyperlink"/>
          <w:rFonts w:hint="cs"/>
          <w:color w:val="000000" w:themeColor="text1"/>
          <w:u w:val="none"/>
          <w:rtl/>
          <w:lang w:bidi="prs-AF"/>
        </w:rPr>
        <w:t xml:space="preserve"> دانشگاه تکنولوژی دالیان </w:t>
      </w:r>
      <w:r>
        <w:rPr>
          <w:rStyle w:val="Hyperlink"/>
          <w:color w:val="000000" w:themeColor="text1"/>
          <w:u w:val="none"/>
          <w:rtl/>
          <w:lang w:bidi="prs-AF"/>
        </w:rPr>
        <w:t>–</w:t>
      </w:r>
      <w:r w:rsidR="00831B28">
        <w:rPr>
          <w:rStyle w:val="Hyperlink"/>
          <w:rFonts w:hint="cs"/>
          <w:color w:val="000000" w:themeColor="text1"/>
          <w:u w:val="none"/>
          <w:rtl/>
          <w:lang w:bidi="prs-AF"/>
        </w:rPr>
        <w:t>دالیان</w:t>
      </w:r>
      <w:r>
        <w:rPr>
          <w:rStyle w:val="Hyperlink"/>
          <w:color w:val="000000" w:themeColor="text1"/>
          <w:u w:val="none"/>
          <w:rtl/>
          <w:lang w:bidi="prs-AF"/>
        </w:rPr>
        <w:t>–</w:t>
      </w:r>
      <w:r>
        <w:rPr>
          <w:rStyle w:val="Hyperlink"/>
          <w:rFonts w:hint="cs"/>
          <w:color w:val="000000" w:themeColor="text1"/>
          <w:u w:val="none"/>
          <w:rtl/>
          <w:lang w:bidi="prs-AF"/>
        </w:rPr>
        <w:t xml:space="preserve"> چین</w:t>
      </w:r>
    </w:p>
    <w:p w:rsidR="00831B28" w:rsidRDefault="00CA62A8" w:rsidP="00CA62A8">
      <w:pPr>
        <w:bidi/>
        <w:rPr>
          <w:rStyle w:val="Hyperlink"/>
          <w:color w:val="000000" w:themeColor="text1"/>
          <w:u w:val="none"/>
          <w:rtl/>
          <w:lang w:bidi="prs-AF"/>
        </w:rPr>
      </w:pPr>
      <w:r>
        <w:rPr>
          <w:rStyle w:val="Hyperlink"/>
          <w:rFonts w:hint="cs"/>
          <w:color w:val="000000" w:themeColor="text1"/>
          <w:u w:val="none"/>
          <w:rtl/>
          <w:lang w:bidi="prs-AF"/>
        </w:rPr>
        <w:t>سمت/سازمان (وابستگی سازمانی) (</w:t>
      </w:r>
      <w:r>
        <w:rPr>
          <w:rStyle w:val="Hyperlink"/>
          <w:color w:val="000000" w:themeColor="text1"/>
          <w:u w:val="none"/>
          <w:lang w:bidi="fa-IR"/>
        </w:rPr>
        <w:t>English</w:t>
      </w:r>
      <w:r>
        <w:rPr>
          <w:rStyle w:val="Hyperlink"/>
          <w:rFonts w:hint="cs"/>
          <w:color w:val="000000" w:themeColor="text1"/>
          <w:u w:val="none"/>
          <w:rtl/>
          <w:lang w:bidi="prs-AF"/>
        </w:rPr>
        <w:t>):</w:t>
      </w:r>
    </w:p>
    <w:p w:rsidR="00CA62A8" w:rsidRDefault="00CA62A8" w:rsidP="00831B28">
      <w:pPr>
        <w:rPr>
          <w:rStyle w:val="Hyperlink"/>
          <w:color w:val="000000" w:themeColor="text1"/>
          <w:u w:val="none"/>
          <w:rtl/>
          <w:lang w:bidi="prs-AF"/>
        </w:rPr>
      </w:pPr>
      <w:r>
        <w:rPr>
          <w:rStyle w:val="Hyperlink"/>
          <w:color w:val="000000" w:themeColor="text1"/>
          <w:u w:val="none"/>
          <w:lang w:bidi="fa-IR"/>
        </w:rPr>
        <w:t>School of Hydraulic Engineering, Faculty of Infrastructure Engineering, Dalian University of Technology, Dalian 116024, China</w:t>
      </w:r>
    </w:p>
    <w:p w:rsidR="00831B28" w:rsidRDefault="00CA62A8" w:rsidP="00831B28">
      <w:pPr>
        <w:bidi/>
        <w:rPr>
          <w:rStyle w:val="Hyperlink"/>
          <w:color w:val="000000" w:themeColor="text1"/>
          <w:u w:val="none"/>
          <w:lang w:bidi="prs-AF"/>
        </w:rPr>
      </w:pPr>
      <w:r>
        <w:rPr>
          <w:rStyle w:val="Hyperlink"/>
          <w:rFonts w:hint="cs"/>
          <w:color w:val="000000" w:themeColor="text1"/>
          <w:u w:val="none"/>
          <w:rtl/>
          <w:lang w:bidi="prs-AF"/>
        </w:rPr>
        <w:t>وب سایت:</w:t>
      </w:r>
    </w:p>
    <w:p w:rsidR="00CA62A8" w:rsidRDefault="00CA62A8" w:rsidP="00831B28">
      <w:pPr>
        <w:rPr>
          <w:rStyle w:val="Hyperlink"/>
          <w:color w:val="000000" w:themeColor="text1"/>
          <w:rtl/>
        </w:rPr>
      </w:pPr>
      <w:r>
        <w:rPr>
          <w:rStyle w:val="Hyperlink"/>
          <w:rFonts w:hint="cs"/>
          <w:color w:val="000000" w:themeColor="text1"/>
          <w:u w:val="none"/>
          <w:rtl/>
          <w:lang w:bidi="prs-AF"/>
        </w:rPr>
        <w:t xml:space="preserve"> </w:t>
      </w:r>
      <w:r w:rsidR="00831B28">
        <w:rPr>
          <w:rStyle w:val="Hyperlink"/>
          <w:color w:val="000000" w:themeColor="text1"/>
        </w:rPr>
        <w:fldChar w:fldCharType="begin"/>
      </w:r>
      <w:r w:rsidR="00831B28">
        <w:rPr>
          <w:rStyle w:val="Hyperlink"/>
          <w:color w:val="000000" w:themeColor="text1"/>
        </w:rPr>
        <w:instrText>HYPERLINK "</w:instrText>
      </w:r>
      <w:r w:rsidR="00831B28" w:rsidRPr="00831B28">
        <w:rPr>
          <w:rStyle w:val="Hyperlink"/>
          <w:color w:val="000000" w:themeColor="text1"/>
        </w:rPr>
        <w:instrText>https://scholar.google.com/citations?user=fdjZwh0AAAAJ&amp;hl=en</w:instrText>
      </w:r>
      <w:r w:rsidR="00831B28">
        <w:rPr>
          <w:rStyle w:val="Hyperlink"/>
          <w:color w:val="000000" w:themeColor="text1"/>
        </w:rPr>
        <w:instrText>"</w:instrText>
      </w:r>
      <w:r w:rsidR="00831B28">
        <w:rPr>
          <w:rStyle w:val="Hyperlink"/>
          <w:color w:val="000000" w:themeColor="text1"/>
        </w:rPr>
        <w:fldChar w:fldCharType="separate"/>
      </w:r>
      <w:r w:rsidR="00831B28" w:rsidRPr="00156F61">
        <w:rPr>
          <w:rStyle w:val="Hyperlink"/>
        </w:rPr>
        <w:t>https://scholar.google.co</w:t>
      </w:r>
      <w:r w:rsidR="00831B28" w:rsidRPr="00156F61">
        <w:rPr>
          <w:rStyle w:val="Hyperlink"/>
        </w:rPr>
        <w:t>m</w:t>
      </w:r>
      <w:r w:rsidR="00831B28" w:rsidRPr="00156F61">
        <w:rPr>
          <w:rStyle w:val="Hyperlink"/>
        </w:rPr>
        <w:t>/citations?us</w:t>
      </w:r>
      <w:r w:rsidR="00831B28" w:rsidRPr="00156F61">
        <w:rPr>
          <w:rStyle w:val="Hyperlink"/>
        </w:rPr>
        <w:t>e</w:t>
      </w:r>
      <w:r w:rsidR="00831B28" w:rsidRPr="00156F61">
        <w:rPr>
          <w:rStyle w:val="Hyperlink"/>
        </w:rPr>
        <w:t>r=fdjZwh0AAAAJ&amp;hl=en</w:t>
      </w:r>
      <w:r w:rsidR="00831B28">
        <w:rPr>
          <w:rStyle w:val="Hyperlink"/>
          <w:color w:val="000000" w:themeColor="text1"/>
        </w:rPr>
        <w:fldChar w:fldCharType="end"/>
      </w:r>
    </w:p>
    <w:p w:rsidR="00831B28" w:rsidRDefault="00831B28" w:rsidP="00831B28">
      <w:pPr>
        <w:rPr>
          <w:rStyle w:val="Hyperlink"/>
        </w:rPr>
      </w:pPr>
      <w:hyperlink r:id="rId5" w:history="1">
        <w:r w:rsidRPr="00831B28">
          <w:rPr>
            <w:rStyle w:val="Hyperlink"/>
          </w:rPr>
          <w:t>https://faculty.dlut.edu.cn/AZMAALIASGHAR1/en/in</w:t>
        </w:r>
        <w:r w:rsidRPr="00831B28">
          <w:rPr>
            <w:rStyle w:val="Hyperlink"/>
          </w:rPr>
          <w:t>d</w:t>
        </w:r>
        <w:r w:rsidRPr="00831B28">
          <w:rPr>
            <w:rStyle w:val="Hyperlink"/>
          </w:rPr>
          <w:t>ex.htm</w:t>
        </w:r>
      </w:hyperlink>
    </w:p>
    <w:p w:rsidR="00CA62A8" w:rsidRDefault="00CA62A8" w:rsidP="00831B28">
      <w:pPr>
        <w:bidi/>
        <w:rPr>
          <w:rStyle w:val="Hyperlink"/>
          <w:color w:val="000000" w:themeColor="text1"/>
          <w:u w:val="none"/>
          <w:lang w:bidi="prs-AF"/>
        </w:rPr>
      </w:pPr>
      <w:r w:rsidRPr="00CA62A8">
        <w:rPr>
          <w:rStyle w:val="Hyperlink"/>
          <w:rFonts w:hint="cs"/>
          <w:color w:val="000000" w:themeColor="text1"/>
          <w:u w:val="none"/>
          <w:rtl/>
          <w:lang w:bidi="prs-AF"/>
        </w:rPr>
        <w:t>لینک ارجاعات مقالات: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[1]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Liu, Y.;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Eftekhari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M.; </w:t>
      </w:r>
      <w:proofErr w:type="spellStart"/>
      <w:proofErr w:type="gram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Zhang,D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.</w:t>
      </w:r>
      <w:proofErr w:type="gram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Comparison of hybrid deep learning models for estimation of the time-dependent scour depth downstream of river training structures. Physics of Fluids. 2024, 36, 101911</w:t>
      </w:r>
      <w:r w:rsidRPr="004731B9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 </w:t>
      </w:r>
      <w:r w:rsidRPr="008713E6">
        <w:rPr>
          <w:rStyle w:val="Hyperlink"/>
        </w:rPr>
        <w:t>DOI: 10.1063/5.0231597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(Q1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, IF: </w:t>
      </w:r>
      <w:proofErr w:type="gramStart"/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4.1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  <w:proofErr w:type="gramEnd"/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[2]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Liu, Y.;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M.; Saadat, M.; Zhang, D.; Cho, J.;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Rezania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S. </w:t>
      </w:r>
      <w:r w:rsidRPr="0090533A">
        <w:rPr>
          <w:rFonts w:asciiTheme="majorBidi" w:eastAsia="SimSun" w:hAnsiTheme="majorBidi" w:cstheme="majorBidi"/>
          <w:sz w:val="26"/>
          <w:szCs w:val="26"/>
        </w:rPr>
        <w:t xml:space="preserve"> 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Hybrid machine learning models for prediction of daily dissolved oxygen. Journal of Water Process Engineering. 2023, 54, 103957</w:t>
      </w:r>
      <w:r w:rsidRPr="004731B9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 </w:t>
      </w:r>
      <w:r w:rsidRPr="008713E6">
        <w:rPr>
          <w:rStyle w:val="Hyperlink"/>
        </w:rPr>
        <w:t>DOI: 10.1016/j.jwpe.2023.103957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(Q1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IF: 6.3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[3]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Tavakol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Sadrabadi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M.; Liu, Y.;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M.; Zhang, D.; Cao, Z.; Li, Z. Boosting ensembles for estimation of discharge coefficient and through flow discharge in broad-crested gabion weirs. Applied Water Science. 2023, 13, 45. </w:t>
      </w:r>
      <w:r w:rsidRPr="008713E6">
        <w:rPr>
          <w:rStyle w:val="Hyperlink"/>
        </w:rPr>
        <w:t>DOI: 10.1007/s13201-022-01841-x</w:t>
      </w:r>
      <w:r w:rsidRPr="004731B9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(Q1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IF: 5.7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lang w:bidi="fa-IR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[4]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Behroyan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I.;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Babanezhad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, M.; Liu, Y. Fuzzy-based bee algorithm for machine learning and pattern recognition of computational data of nanofluid heat transfer. Neural Computing and Applications. 2023, 35, 20087-20101.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r w:rsidRPr="008713E6">
        <w:rPr>
          <w:rStyle w:val="Hyperlink"/>
        </w:rPr>
        <w:t>DOI: 10.1007/s00521-023-08851-z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(Q2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IF: 4.5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[5]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Kiyanfar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R.; Liu, Y.;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, M.; Zhang, D.; Cao, Z.; Li, Z. ML and CFD Simulation of flow Structure around Tandem Bridge Piers in Pressurized Flow. Computers, Materials &amp; Continua. 2023, 75, 1711-1733.</w:t>
      </w:r>
      <w:r w:rsidRPr="004731B9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8713E6">
        <w:rPr>
          <w:rStyle w:val="Hyperlink"/>
        </w:rPr>
        <w:t>DOI: 10.32604/cmc.2023.036680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</w:t>
      </w:r>
      <w:proofErr w:type="gram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3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 IF</w:t>
      </w:r>
      <w:proofErr w:type="gramEnd"/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: 2.1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</w:p>
    <w:p w:rsidR="00831B28" w:rsidRPr="0090533A" w:rsidRDefault="00831B28" w:rsidP="00831B28">
      <w:pPr>
        <w:spacing w:after="0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[6]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Narreie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E.;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Shojaaddini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A.;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Kianfar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N.;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Kiyanfar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R.;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Seyed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Alizadeh, S.;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Davarpanah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, A. Statistical modeling for spatial groundwater potential map based on GIS technique. Sustainability. 2021, 13, 3788.</w:t>
      </w:r>
      <w:r w:rsidRPr="004731B9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8713E6">
        <w:rPr>
          <w:rStyle w:val="Hyperlink"/>
        </w:rPr>
        <w:t>DOI: 10.3390/su13073788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(Q2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IF: 3.3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[7]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Zhang, Y. </w:t>
      </w:r>
      <w:r w:rsidRPr="0090533A">
        <w:rPr>
          <w:rFonts w:asciiTheme="majorBidi" w:eastAsia="SimSun" w:hAnsiTheme="majorBidi" w:cstheme="majorBidi"/>
        </w:rPr>
        <w:t xml:space="preserve">Tributary Channel width effect on the flow behavior in trapezoidal and rectangular channel confluences. Processes. 2020, 8, 1344. </w:t>
      </w:r>
      <w:r w:rsidRPr="008713E6">
        <w:rPr>
          <w:rStyle w:val="Hyperlink"/>
        </w:rPr>
        <w:t>DOI: 10.3390/pr8111344</w:t>
      </w:r>
      <w:r w:rsidRPr="004731B9">
        <w:rPr>
          <w:rFonts w:asciiTheme="majorBidi" w:eastAsia="SimSun" w:hAnsiTheme="majorBidi" w:cstheme="majorBidi"/>
          <w:b/>
          <w:bCs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</w:rPr>
        <w:t>(Q2</w:t>
      </w:r>
      <w:r w:rsidRPr="004731B9">
        <w:rPr>
          <w:rFonts w:asciiTheme="majorBidi" w:eastAsia="SimSun" w:hAnsiTheme="majorBidi" w:cstheme="majorBidi"/>
          <w:b/>
          <w:bCs/>
        </w:rPr>
        <w:t>, IF: 2.8</w:t>
      </w:r>
      <w:r w:rsidRPr="0090533A">
        <w:rPr>
          <w:rFonts w:asciiTheme="majorBidi" w:eastAsia="SimSun" w:hAnsiTheme="majorBidi" w:cstheme="majorBidi"/>
          <w:b/>
          <w:bCs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z w:val="10"/>
          <w:szCs w:val="10"/>
        </w:rPr>
      </w:pPr>
    </w:p>
    <w:p w:rsidR="00831B28" w:rsidRPr="0090533A" w:rsidRDefault="00831B28" w:rsidP="00831B28">
      <w:pPr>
        <w:spacing w:after="40"/>
        <w:jc w:val="both"/>
        <w:rPr>
          <w:rFonts w:asciiTheme="majorBidi" w:eastAsia="SimSun" w:hAnsiTheme="majorBidi" w:cstheme="majorBidi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[8]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proofErr w:type="spellStart"/>
      <w:r w:rsidRPr="0090533A">
        <w:rPr>
          <w:rFonts w:asciiTheme="majorBidi" w:eastAsia="SimSun" w:hAnsiTheme="majorBidi" w:cstheme="majorBidi"/>
          <w:b/>
          <w:bCs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</w:rPr>
        <w:t>, A</w:t>
      </w:r>
      <w:r w:rsidRPr="0090533A">
        <w:rPr>
          <w:rFonts w:asciiTheme="majorBidi" w:eastAsia="SimSun" w:hAnsiTheme="majorBidi" w:cstheme="majorBidi"/>
        </w:rPr>
        <w:t>.; Zhang, Y. The Effect of Variations of Flow from Tributary Channel on the Flow Behavior in a T-Shape Confluence. Processes. 2020</w:t>
      </w:r>
      <w:r w:rsidRPr="0090533A">
        <w:rPr>
          <w:rFonts w:asciiTheme="majorBidi" w:eastAsia="SimSun" w:hAnsiTheme="majorBidi" w:cstheme="majorBidi"/>
          <w:i/>
          <w:iCs/>
        </w:rPr>
        <w:t xml:space="preserve">, </w:t>
      </w:r>
      <w:r w:rsidRPr="0090533A">
        <w:rPr>
          <w:rFonts w:asciiTheme="majorBidi" w:eastAsia="SimSun" w:hAnsiTheme="majorBidi" w:cstheme="majorBidi"/>
        </w:rPr>
        <w:t>8</w:t>
      </w:r>
      <w:r w:rsidRPr="0090533A">
        <w:rPr>
          <w:rFonts w:asciiTheme="majorBidi" w:eastAsia="SimSun" w:hAnsiTheme="majorBidi" w:cstheme="majorBidi"/>
          <w:i/>
          <w:iCs/>
        </w:rPr>
        <w:t xml:space="preserve">, </w:t>
      </w:r>
      <w:r w:rsidRPr="0090533A">
        <w:rPr>
          <w:rFonts w:asciiTheme="majorBidi" w:eastAsia="SimSun" w:hAnsiTheme="majorBidi" w:cstheme="majorBidi"/>
        </w:rPr>
        <w:t>614.</w:t>
      </w:r>
      <w:r w:rsidRPr="004731B9">
        <w:rPr>
          <w:rFonts w:asciiTheme="majorBidi" w:eastAsia="SimSun" w:hAnsiTheme="majorBidi" w:cstheme="majorBidi"/>
        </w:rPr>
        <w:t xml:space="preserve"> </w:t>
      </w:r>
      <w:r w:rsidRPr="008713E6">
        <w:rPr>
          <w:rStyle w:val="Hyperlink"/>
        </w:rPr>
        <w:t xml:space="preserve">DOI: </w:t>
      </w:r>
      <w:r w:rsidRPr="0090533A">
        <w:rPr>
          <w:rStyle w:val="Hyperlink"/>
        </w:rPr>
        <w:t xml:space="preserve"> </w:t>
      </w:r>
      <w:r w:rsidRPr="008713E6">
        <w:rPr>
          <w:rStyle w:val="Hyperlink"/>
        </w:rPr>
        <w:t>10.3390/pr8050614</w:t>
      </w:r>
      <w:r w:rsidRPr="004731B9">
        <w:rPr>
          <w:rFonts w:asciiTheme="majorBidi" w:eastAsia="SimSun" w:hAnsiTheme="majorBidi" w:cstheme="majorBidi"/>
          <w:b/>
          <w:bCs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</w:rPr>
        <w:t>(Q2</w:t>
      </w:r>
      <w:r w:rsidRPr="004731B9">
        <w:rPr>
          <w:rFonts w:asciiTheme="majorBidi" w:eastAsia="SimSun" w:hAnsiTheme="majorBidi" w:cstheme="majorBidi"/>
          <w:b/>
          <w:bCs/>
        </w:rPr>
        <w:t>, IF: 2.8</w:t>
      </w:r>
      <w:r w:rsidRPr="0090533A">
        <w:rPr>
          <w:rFonts w:asciiTheme="majorBidi" w:eastAsia="SimSun" w:hAnsiTheme="majorBidi" w:cstheme="majorBidi"/>
          <w:b/>
          <w:bCs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[9]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Shirnezhad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Z.;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Foong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LK.; Jahangir, A.;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Rastegarnia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A. Assessment of water resources quality of a karstic aquifer in the Southwest of Iran. </w:t>
      </w:r>
      <w:r w:rsidRPr="0090533A">
        <w:rPr>
          <w:rFonts w:asciiTheme="majorBidi" w:eastAsia="SimSun" w:hAnsiTheme="majorBidi" w:cstheme="majorBidi"/>
        </w:rPr>
        <w:t>Bulletin</w:t>
      </w:r>
      <w:r w:rsidRPr="0090533A">
        <w:rPr>
          <w:rFonts w:asciiTheme="majorBidi" w:eastAsia="SimSun" w:hAnsiTheme="majorBidi" w:cstheme="majorBidi"/>
          <w:rtl/>
        </w:rPr>
        <w:t xml:space="preserve"> </w:t>
      </w:r>
      <w:r w:rsidRPr="0090533A">
        <w:rPr>
          <w:rFonts w:asciiTheme="majorBidi" w:eastAsia="SimSun" w:hAnsiTheme="majorBidi" w:cstheme="majorBidi"/>
        </w:rPr>
        <w:t>of Engineering Geology and the Environment. 2020, 80, 71-92.</w:t>
      </w:r>
      <w:r w:rsidRPr="004731B9">
        <w:rPr>
          <w:rFonts w:asciiTheme="majorBidi" w:eastAsia="SimSun" w:hAnsiTheme="majorBidi" w:cstheme="majorBidi"/>
        </w:rPr>
        <w:t xml:space="preserve"> </w:t>
      </w:r>
      <w:r w:rsidRPr="008713E6">
        <w:rPr>
          <w:rStyle w:val="Hyperlink"/>
        </w:rPr>
        <w:t>DOI: 10.1007/s10064-020-01871-2</w:t>
      </w:r>
      <w:r w:rsidRPr="0090533A">
        <w:rPr>
          <w:rFonts w:asciiTheme="majorBidi" w:eastAsia="SimSun" w:hAnsiTheme="majorBidi" w:cstheme="majorBidi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</w:rPr>
        <w:t>(Q1</w:t>
      </w:r>
      <w:r w:rsidRPr="004731B9">
        <w:rPr>
          <w:rFonts w:asciiTheme="majorBidi" w:eastAsia="SimSun" w:hAnsiTheme="majorBidi" w:cstheme="majorBidi"/>
          <w:b/>
          <w:bCs/>
        </w:rPr>
        <w:t>, IF: 3.7</w:t>
      </w:r>
      <w:r w:rsidRPr="0090533A">
        <w:rPr>
          <w:rFonts w:asciiTheme="majorBidi" w:eastAsia="SimSun" w:hAnsiTheme="majorBidi" w:cstheme="majorBidi"/>
          <w:b/>
          <w:bCs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[10]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cs/>
          <w:lang w:val="en-GB" w:bidi="hi-IN"/>
        </w:rPr>
        <w:t xml:space="preserve">Honarbakhsh, </w:t>
      </w:r>
      <w:r w:rsidRPr="0090533A">
        <w:rPr>
          <w:rFonts w:asciiTheme="majorBidi" w:eastAsia="SimSun" w:hAnsiTheme="majorBidi" w:cstheme="majorBidi"/>
          <w:lang w:bidi="hi-IN"/>
        </w:rPr>
        <w:t xml:space="preserve">A.; </w:t>
      </w:r>
      <w:proofErr w:type="spellStart"/>
      <w:r w:rsidRPr="0090533A">
        <w:rPr>
          <w:rFonts w:asciiTheme="majorBidi" w:eastAsia="SimSun" w:hAnsiTheme="majorBidi" w:cstheme="majorBidi"/>
          <w:b/>
          <w:bCs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lang w:bidi="hi-IN"/>
        </w:rPr>
        <w:t>, A</w:t>
      </w:r>
      <w:r w:rsidRPr="0090533A">
        <w:rPr>
          <w:rFonts w:asciiTheme="majorBidi" w:eastAsia="SimSun" w:hAnsiTheme="majorBidi" w:cstheme="majorBidi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Nikseresht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 xml:space="preserve">, F.;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Mousazadeh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 xml:space="preserve">, M.;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Eftekhari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>, M.</w:t>
      </w:r>
      <w:r w:rsidRPr="0090533A">
        <w:rPr>
          <w:rFonts w:asciiTheme="majorBidi" w:eastAsia="SimSun" w:hAnsiTheme="majorBidi" w:cstheme="majorBidi"/>
          <w:rtl/>
          <w:lang w:bidi="prs-AF"/>
        </w:rPr>
        <w:t xml:space="preserve">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Ostovari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>, Y. Hydro-chemical assessment and GIS-mapping of groundwater</w:t>
      </w:r>
      <w:r w:rsidRPr="0090533A">
        <w:rPr>
          <w:rFonts w:asciiTheme="majorBidi" w:eastAsia="SimSun" w:hAnsiTheme="majorBidi" w:cstheme="majorBidi"/>
          <w:rtl/>
          <w:lang w:bidi="prs-AF"/>
        </w:rPr>
        <w:t xml:space="preserve"> </w:t>
      </w:r>
      <w:r w:rsidRPr="0090533A">
        <w:rPr>
          <w:rFonts w:asciiTheme="majorBidi" w:eastAsia="SimSun" w:hAnsiTheme="majorBidi" w:cstheme="majorBidi"/>
          <w:lang w:bidi="hi-IN"/>
        </w:rPr>
        <w:t>quality parameters in semi-arid regions. Journal of Water Supply: Research</w:t>
      </w:r>
      <w:r w:rsidRPr="0090533A">
        <w:rPr>
          <w:rFonts w:asciiTheme="majorBidi" w:eastAsia="SimSun" w:hAnsiTheme="majorBidi" w:cstheme="majorBidi"/>
          <w:rtl/>
          <w:lang w:bidi="prs-AF"/>
        </w:rPr>
        <w:t xml:space="preserve"> </w:t>
      </w:r>
      <w:r w:rsidRPr="0090533A">
        <w:rPr>
          <w:rFonts w:asciiTheme="majorBidi" w:eastAsia="SimSun" w:hAnsiTheme="majorBidi" w:cstheme="majorBidi"/>
          <w:lang w:bidi="hi-IN"/>
        </w:rPr>
        <w:t xml:space="preserve">and Technology-Aqua. 2019, 68, 509-522. </w:t>
      </w:r>
      <w:r w:rsidRPr="008713E6">
        <w:rPr>
          <w:rStyle w:val="Hyperlink"/>
        </w:rPr>
        <w:t>DOI: 10.2166/aqua.2019.009</w:t>
      </w:r>
      <w:r w:rsidRPr="004731B9">
        <w:rPr>
          <w:rFonts w:asciiTheme="majorBidi" w:eastAsia="SimSun" w:hAnsiTheme="majorBidi" w:cstheme="majorBidi"/>
          <w:b/>
          <w:bCs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lang w:bidi="hi-IN"/>
        </w:rPr>
        <w:t>(Q1</w:t>
      </w:r>
      <w:r w:rsidRPr="004731B9">
        <w:rPr>
          <w:rFonts w:asciiTheme="majorBidi" w:eastAsia="SimSun" w:hAnsiTheme="majorBidi" w:cstheme="majorBidi"/>
          <w:b/>
          <w:bCs/>
          <w:lang w:bidi="hi-IN"/>
        </w:rPr>
        <w:t>, IF: 4.3</w:t>
      </w:r>
      <w:r w:rsidRPr="0090533A">
        <w:rPr>
          <w:rFonts w:asciiTheme="majorBidi" w:eastAsia="SimSun" w:hAnsiTheme="majorBidi" w:cstheme="majorBidi"/>
          <w:b/>
          <w:bCs/>
          <w:lang w:bidi="hi-IN"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lang w:bidi="hi-IN"/>
        </w:rPr>
      </w:pPr>
      <w:r w:rsidRPr="0090533A">
        <w:rPr>
          <w:rFonts w:asciiTheme="majorBidi" w:eastAsia="SimSun" w:hAnsiTheme="majorBidi" w:cstheme="majorBidi"/>
          <w:lang w:bidi="hi-IN"/>
        </w:rPr>
        <w:t xml:space="preserve">[11] Akbari, M.;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Tahmoures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 xml:space="preserve">, M.; </w:t>
      </w:r>
      <w:proofErr w:type="spellStart"/>
      <w:r w:rsidRPr="0090533A">
        <w:rPr>
          <w:rFonts w:asciiTheme="majorBidi" w:eastAsia="SimSun" w:hAnsiTheme="majorBidi" w:cstheme="majorBidi"/>
          <w:b/>
          <w:bCs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lang w:bidi="hi-IN"/>
        </w:rPr>
        <w:t>, A</w:t>
      </w:r>
      <w:r w:rsidRPr="0090533A">
        <w:rPr>
          <w:rFonts w:asciiTheme="majorBidi" w:eastAsia="SimSun" w:hAnsiTheme="majorBidi" w:cstheme="majorBidi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Kiyanfar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 xml:space="preserve">, R.; Tat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shahdost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>, F. Land capability assessment by combining LESA and GIS in a calcareous watershed, Iran. Arabian Journal of Geosciences. 2022, 15, 404.</w:t>
      </w:r>
      <w:r w:rsidRPr="004731B9">
        <w:rPr>
          <w:rFonts w:asciiTheme="majorBidi" w:eastAsia="SimSun" w:hAnsiTheme="majorBidi" w:cstheme="majorBidi"/>
          <w:lang w:bidi="hi-IN"/>
        </w:rPr>
        <w:t xml:space="preserve"> </w:t>
      </w:r>
      <w:r w:rsidRPr="008713E6">
        <w:rPr>
          <w:rStyle w:val="Hyperlink"/>
        </w:rPr>
        <w:t>DOI: 10.1007/s12517-022-09729-</w:t>
      </w:r>
      <w:proofErr w:type="gramStart"/>
      <w:r w:rsidRPr="008713E6">
        <w:rPr>
          <w:rStyle w:val="Hyperlink"/>
        </w:rPr>
        <w:t>5</w:t>
      </w:r>
      <w:r w:rsidRPr="004731B9">
        <w:rPr>
          <w:rFonts w:asciiTheme="majorBidi" w:eastAsia="SimSun" w:hAnsiTheme="majorBidi" w:cstheme="majorBidi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lang w:bidi="hi-IN"/>
        </w:rPr>
        <w:t>(</w:t>
      </w:r>
      <w:proofErr w:type="gramEnd"/>
      <w:r w:rsidRPr="0090533A">
        <w:rPr>
          <w:rFonts w:asciiTheme="majorBidi" w:eastAsia="SimSun" w:hAnsiTheme="majorBidi" w:cstheme="majorBidi"/>
          <w:b/>
          <w:bCs/>
          <w:lang w:bidi="hi-IN"/>
        </w:rPr>
        <w:t>Q3</w:t>
      </w:r>
      <w:r w:rsidRPr="004731B9">
        <w:rPr>
          <w:rFonts w:asciiTheme="majorBidi" w:eastAsia="SimSun" w:hAnsiTheme="majorBidi" w:cstheme="majorBidi"/>
          <w:b/>
          <w:bCs/>
          <w:lang w:bidi="hi-IN"/>
        </w:rPr>
        <w:t>, IF: 1.827</w:t>
      </w:r>
      <w:r w:rsidRPr="0090533A">
        <w:rPr>
          <w:rFonts w:asciiTheme="majorBidi" w:eastAsia="SimSun" w:hAnsiTheme="majorBidi" w:cstheme="majorBidi"/>
          <w:b/>
          <w:bCs/>
          <w:lang w:bidi="hi-IN"/>
        </w:rPr>
        <w:t>)</w:t>
      </w:r>
    </w:p>
    <w:p w:rsidR="00831B28" w:rsidRPr="0090533A" w:rsidRDefault="00831B28" w:rsidP="00831B28">
      <w:pPr>
        <w:spacing w:after="0"/>
        <w:rPr>
          <w:rFonts w:asciiTheme="majorBidi" w:eastAsia="SimSun" w:hAnsiTheme="majorBidi" w:cstheme="majorBidi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b/>
          <w:bCs/>
          <w:lang w:bidi="hi-IN"/>
        </w:rPr>
      </w:pPr>
      <w:r w:rsidRPr="0090533A">
        <w:rPr>
          <w:rFonts w:asciiTheme="majorBidi" w:eastAsia="SimSun" w:hAnsiTheme="majorBidi" w:cstheme="majorBidi"/>
          <w:lang w:bidi="hi-IN"/>
        </w:rPr>
        <w:t xml:space="preserve">[12]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Eslaminezhad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 xml:space="preserve">, S.;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Eftekhari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 xml:space="preserve">, M.; </w:t>
      </w:r>
      <w:proofErr w:type="spellStart"/>
      <w:r w:rsidRPr="0090533A">
        <w:rPr>
          <w:rFonts w:asciiTheme="majorBidi" w:eastAsia="SimSun" w:hAnsiTheme="majorBidi" w:cstheme="majorBidi"/>
          <w:b/>
          <w:bCs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lang w:bidi="hi-IN"/>
        </w:rPr>
        <w:t>, A</w:t>
      </w:r>
      <w:r w:rsidRPr="0090533A">
        <w:rPr>
          <w:rFonts w:asciiTheme="majorBidi" w:eastAsia="SimSun" w:hAnsiTheme="majorBidi" w:cstheme="majorBidi"/>
          <w:lang w:bidi="hi-IN"/>
        </w:rPr>
        <w:t xml:space="preserve">.; </w:t>
      </w:r>
      <w:proofErr w:type="spellStart"/>
      <w:r w:rsidRPr="0090533A">
        <w:rPr>
          <w:rFonts w:asciiTheme="majorBidi" w:eastAsia="SimSun" w:hAnsiTheme="majorBidi" w:cstheme="majorBidi"/>
          <w:lang w:bidi="hi-IN"/>
        </w:rPr>
        <w:t>Kiyanfar</w:t>
      </w:r>
      <w:proofErr w:type="spellEnd"/>
      <w:r w:rsidRPr="0090533A">
        <w:rPr>
          <w:rFonts w:asciiTheme="majorBidi" w:eastAsia="SimSun" w:hAnsiTheme="majorBidi" w:cstheme="majorBidi"/>
          <w:lang w:bidi="hi-IN"/>
        </w:rPr>
        <w:t>, R.; Akbari, M. Assessment of flood susceptibility prediction based on optimized tree-based machine learning models. Journal of Water and Climate Change. 2022, 13, 2353-2385.</w:t>
      </w:r>
      <w:r w:rsidRPr="004731B9">
        <w:rPr>
          <w:rFonts w:asciiTheme="majorBidi" w:eastAsia="SimSun" w:hAnsiTheme="majorBidi" w:cstheme="majorBidi"/>
          <w:lang w:bidi="hi-IN"/>
        </w:rPr>
        <w:t xml:space="preserve"> </w:t>
      </w:r>
      <w:r w:rsidRPr="008713E6">
        <w:rPr>
          <w:rStyle w:val="Hyperlink"/>
        </w:rPr>
        <w:t>DOI: 10.2166/wcc.2022.435</w:t>
      </w:r>
      <w:r w:rsidRPr="0090533A">
        <w:rPr>
          <w:rFonts w:asciiTheme="majorBidi" w:eastAsia="SimSun" w:hAnsiTheme="majorBidi" w:cstheme="majorBidi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lang w:bidi="hi-IN"/>
        </w:rPr>
        <w:t>(Q2</w:t>
      </w:r>
      <w:r w:rsidRPr="004731B9">
        <w:rPr>
          <w:rFonts w:asciiTheme="majorBidi" w:eastAsia="SimSun" w:hAnsiTheme="majorBidi" w:cstheme="majorBidi"/>
          <w:b/>
          <w:bCs/>
          <w:lang w:bidi="hi-IN"/>
        </w:rPr>
        <w:t>, IF: 2.7</w:t>
      </w:r>
      <w:r w:rsidRPr="0090533A">
        <w:rPr>
          <w:rFonts w:asciiTheme="majorBidi" w:eastAsia="SimSun" w:hAnsiTheme="majorBidi" w:cstheme="majorBidi"/>
          <w:b/>
          <w:bCs/>
          <w:lang w:bidi="hi-IN"/>
        </w:rPr>
        <w:t>)</w:t>
      </w:r>
    </w:p>
    <w:p w:rsidR="00831B28" w:rsidRPr="0090533A" w:rsidRDefault="00831B28" w:rsidP="00831B28">
      <w:pPr>
        <w:spacing w:after="40"/>
        <w:jc w:val="both"/>
        <w:rPr>
          <w:rFonts w:asciiTheme="majorBidi" w:eastAsia="SimSun" w:hAnsiTheme="majorBidi" w:cstheme="majorBidi"/>
          <w:b/>
          <w:bCs/>
          <w:spacing w:val="-6"/>
          <w:kern w:val="1"/>
          <w:sz w:val="10"/>
          <w:szCs w:val="10"/>
          <w:lang w:bidi="hi-IN"/>
        </w:rPr>
      </w:pP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[13]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 xml:space="preserve">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Tashayo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B.; </w:t>
      </w:r>
      <w:proofErr w:type="spellStart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Honarbakhsh</w:t>
      </w:r>
      <w:proofErr w:type="spellEnd"/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, A.;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.; Akbari, M. Combined Fuzzy AHP–GIS</w:t>
      </w:r>
      <w:r w:rsidRPr="0090533A">
        <w:rPr>
          <w:rFonts w:asciiTheme="majorBidi" w:eastAsia="SimSun" w:hAnsiTheme="majorBidi" w:cstheme="majorBidi"/>
          <w:spacing w:val="-6"/>
          <w:kern w:val="1"/>
          <w:rtl/>
          <w:lang w:bidi="prs-AF"/>
        </w:rPr>
        <w:t xml:space="preserve"> 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>for Agricultural Land Suitability Modeling for a Watershed in Southern Iran.</w:t>
      </w:r>
      <w:r w:rsidRPr="0090533A">
        <w:rPr>
          <w:rFonts w:asciiTheme="majorBidi" w:eastAsia="SimSun" w:hAnsiTheme="majorBidi" w:cstheme="majorBidi"/>
          <w:spacing w:val="-6"/>
          <w:kern w:val="1"/>
          <w:rtl/>
          <w:lang w:bidi="prs-AF"/>
        </w:rPr>
        <w:t xml:space="preserve"> 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Environmental Management. 2020, 66, 364-376. </w:t>
      </w:r>
      <w:r w:rsidRPr="008713E6">
        <w:rPr>
          <w:rStyle w:val="Hyperlink"/>
        </w:rPr>
        <w:t>DOI: 10.1007/s00267-020-01310-8</w:t>
      </w:r>
      <w:r w:rsidRPr="004731B9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3, IF: 2.7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</w:p>
    <w:p w:rsidR="00831B28" w:rsidRPr="0090533A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sz w:val="10"/>
          <w:szCs w:val="10"/>
          <w:lang w:bidi="hi-IN"/>
        </w:rPr>
      </w:pPr>
    </w:p>
    <w:p w:rsidR="00831B28" w:rsidRPr="004731B9" w:rsidRDefault="00831B28" w:rsidP="00831B28">
      <w:pPr>
        <w:spacing w:after="0"/>
        <w:jc w:val="both"/>
        <w:rPr>
          <w:rFonts w:asciiTheme="majorBidi" w:eastAsia="SimSun" w:hAnsiTheme="majorBidi" w:cstheme="majorBidi"/>
          <w:spacing w:val="-6"/>
          <w:kern w:val="1"/>
          <w:lang w:bidi="hi-IN"/>
        </w:rPr>
      </w:pP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[14] Li, Z.; Zhang, D.; Liu, Y.; </w:t>
      </w:r>
      <w:proofErr w:type="spellStart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Azma</w:t>
      </w:r>
      <w:proofErr w:type="spellEnd"/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A</w:t>
      </w:r>
      <w:r w:rsidRPr="0090533A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.; Gao, N.  On the unsteady wake flow behind a sphere with large transverse-rotating speeds. Physics Of Fluids. 2023, 35, 105127. </w:t>
      </w:r>
      <w:r w:rsidRPr="008713E6">
        <w:rPr>
          <w:rStyle w:val="Hyperlink"/>
        </w:rPr>
        <w:t>DOI: 10.1063/5.0170409</w:t>
      </w:r>
      <w:r w:rsidRPr="004731B9">
        <w:rPr>
          <w:rFonts w:asciiTheme="majorBidi" w:eastAsia="SimSun" w:hAnsiTheme="majorBidi" w:cstheme="majorBidi"/>
          <w:spacing w:val="-6"/>
          <w:kern w:val="1"/>
          <w:lang w:bidi="hi-IN"/>
        </w:rPr>
        <w:t xml:space="preserve"> 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(Q1</w:t>
      </w:r>
      <w:r w:rsidRPr="004731B9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, IF: 4.1</w:t>
      </w:r>
      <w:r w:rsidRPr="0090533A">
        <w:rPr>
          <w:rFonts w:asciiTheme="majorBidi" w:eastAsia="SimSun" w:hAnsiTheme="majorBidi" w:cstheme="majorBidi"/>
          <w:b/>
          <w:bCs/>
          <w:spacing w:val="-6"/>
          <w:kern w:val="1"/>
          <w:lang w:bidi="hi-IN"/>
        </w:rPr>
        <w:t>)</w:t>
      </w:r>
    </w:p>
    <w:p w:rsidR="00D14E29" w:rsidRDefault="00D14E29" w:rsidP="00D14E29">
      <w:pPr>
        <w:jc w:val="both"/>
        <w:rPr>
          <w:rStyle w:val="Hyperlink"/>
          <w:rFonts w:asciiTheme="majorBidi" w:hAnsiTheme="majorBidi" w:cstheme="majorBidi"/>
          <w:color w:val="000000" w:themeColor="text1"/>
          <w:u w:val="none"/>
          <w:rtl/>
          <w:lang w:bidi="prs-AF"/>
        </w:rPr>
      </w:pPr>
    </w:p>
    <w:p w:rsidR="00CA62A8" w:rsidRPr="00127B52" w:rsidRDefault="00D14E29" w:rsidP="00127B52">
      <w:pPr>
        <w:bidi/>
        <w:rPr>
          <w:rFonts w:asciiTheme="majorBidi" w:hAnsiTheme="majorBidi" w:cstheme="majorBidi"/>
          <w:color w:val="000000" w:themeColor="text1"/>
          <w:lang w:bidi="prs-AF"/>
        </w:rPr>
      </w:pPr>
      <w:r>
        <w:rPr>
          <w:rStyle w:val="Hyperlink"/>
          <w:rFonts w:asciiTheme="majorBidi" w:hAnsiTheme="majorBidi" w:cstheme="majorBidi" w:hint="cs"/>
          <w:color w:val="000000" w:themeColor="text1"/>
          <w:u w:val="none"/>
          <w:rtl/>
          <w:lang w:bidi="prs-AF"/>
        </w:rPr>
        <w:t xml:space="preserve">پست الکترونیکی: </w:t>
      </w:r>
      <w:hyperlink r:id="rId6" w:history="1">
        <w:r w:rsidRPr="00D14E29">
          <w:rPr>
            <w:rStyle w:val="Hyperlink"/>
            <w:rFonts w:asciiTheme="majorBidi" w:hAnsiTheme="majorBidi" w:cstheme="majorBidi"/>
            <w:u w:val="none"/>
            <w:lang w:bidi="fa-IR"/>
          </w:rPr>
          <w:t>aa.azma1990@dlut.ed</w:t>
        </w:r>
        <w:r w:rsidRPr="00D14E29">
          <w:rPr>
            <w:rStyle w:val="Hyperlink"/>
            <w:rFonts w:asciiTheme="majorBidi" w:hAnsiTheme="majorBidi" w:cstheme="majorBidi"/>
            <w:u w:val="none"/>
            <w:lang w:bidi="fa-IR"/>
          </w:rPr>
          <w:t>u</w:t>
        </w:r>
        <w:r w:rsidRPr="00D14E29">
          <w:rPr>
            <w:rStyle w:val="Hyperlink"/>
            <w:rFonts w:asciiTheme="majorBidi" w:hAnsiTheme="majorBidi" w:cstheme="majorBidi"/>
            <w:u w:val="none"/>
            <w:lang w:bidi="fa-IR"/>
          </w:rPr>
          <w:t>.cn</w:t>
        </w:r>
      </w:hyperlink>
    </w:p>
    <w:sectPr w:rsidR="00CA62A8" w:rsidRPr="0012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D01D1"/>
    <w:multiLevelType w:val="hybridMultilevel"/>
    <w:tmpl w:val="C9B0E1C8"/>
    <w:lvl w:ilvl="0" w:tplc="6DD04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0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DB"/>
    <w:rsid w:val="000F3940"/>
    <w:rsid w:val="00127B52"/>
    <w:rsid w:val="00636D79"/>
    <w:rsid w:val="00831B28"/>
    <w:rsid w:val="00B06B60"/>
    <w:rsid w:val="00B96BDB"/>
    <w:rsid w:val="00CA62A8"/>
    <w:rsid w:val="00D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D3CA"/>
  <w15:chartTrackingRefBased/>
  <w15:docId w15:val="{1FB29CC6-115E-43B4-A393-A03B01EB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6B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62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1B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.azma1990@dlut.edu.cn" TargetMode="External"/><Relationship Id="rId5" Type="http://schemas.openxmlformats.org/officeDocument/2006/relationships/hyperlink" Target="https://faculty.dlut.edu.cn/AZMAALIASGHAR1/en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shivaj73@yahoo.com</cp:lastModifiedBy>
  <cp:revision>2</cp:revision>
  <dcterms:created xsi:type="dcterms:W3CDTF">2022-05-17T05:48:00Z</dcterms:created>
  <dcterms:modified xsi:type="dcterms:W3CDTF">2024-11-15T03:56:00Z</dcterms:modified>
</cp:coreProperties>
</file>